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1E877" w14:textId="4BF8B9C2" w:rsidR="005136C6" w:rsidRDefault="00BF30E5" w:rsidP="005136C6">
      <w:pPr>
        <w:spacing w:before="1" w:after="288"/>
        <w:ind w:left="3672" w:right="3235"/>
      </w:pPr>
      <w:bookmarkStart w:id="0" w:name="_GoBack"/>
      <w:bookmarkEnd w:id="0"/>
      <w:r>
        <w:t xml:space="preserve">    </w:t>
      </w:r>
      <w:r w:rsidR="005136C6">
        <w:rPr>
          <w:noProof/>
        </w:rPr>
        <w:drawing>
          <wp:inline distT="0" distB="0" distL="0" distR="0" wp14:anchorId="6A28F74D" wp14:editId="40A427F4">
            <wp:extent cx="864870" cy="880110"/>
            <wp:effectExtent l="0" t="0" r="0" b="0"/>
            <wp:docPr id="7" name="Picture 7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D221" w14:textId="4C9B33B7" w:rsidR="005136C6" w:rsidRDefault="00BF30E5" w:rsidP="005136C6">
      <w:pPr>
        <w:pStyle w:val="Style1"/>
        <w:kinsoku w:val="0"/>
        <w:autoSpaceDE/>
        <w:autoSpaceDN/>
        <w:adjustRightInd/>
        <w:ind w:left="3240"/>
        <w:rPr>
          <w:rStyle w:val="CharacterStyle2"/>
          <w:rFonts w:ascii="Arial" w:hAnsi="Arial" w:cs="Arial"/>
          <w:spacing w:val="36"/>
          <w:sz w:val="12"/>
          <w:szCs w:val="12"/>
        </w:rPr>
      </w:pPr>
      <w:r>
        <w:rPr>
          <w:rStyle w:val="CharacterStyle2"/>
          <w:rFonts w:ascii="Arial" w:hAnsi="Arial" w:cs="Arial"/>
          <w:spacing w:val="36"/>
          <w:sz w:val="12"/>
          <w:szCs w:val="12"/>
        </w:rPr>
        <w:t xml:space="preserve">    </w:t>
      </w:r>
      <w:r w:rsidR="005136C6">
        <w:rPr>
          <w:rStyle w:val="CharacterStyle2"/>
          <w:rFonts w:ascii="Arial" w:hAnsi="Arial" w:cs="Arial"/>
          <w:spacing w:val="36"/>
          <w:sz w:val="12"/>
          <w:szCs w:val="12"/>
        </w:rPr>
        <w:t>EXECUTIVE CHAMBERS</w:t>
      </w:r>
    </w:p>
    <w:p w14:paraId="302D1EF8" w14:textId="3F275758" w:rsidR="005136C6" w:rsidRDefault="00BF30E5" w:rsidP="005136C6">
      <w:pPr>
        <w:pStyle w:val="Style1"/>
        <w:kinsoku w:val="0"/>
        <w:autoSpaceDE/>
        <w:autoSpaceDN/>
        <w:adjustRightInd/>
        <w:spacing w:before="108"/>
        <w:ind w:left="3888"/>
        <w:rPr>
          <w:rStyle w:val="CharacterStyle2"/>
          <w:rFonts w:ascii="Arial" w:hAnsi="Arial" w:cs="Arial"/>
          <w:spacing w:val="44"/>
          <w:sz w:val="8"/>
          <w:szCs w:val="8"/>
        </w:rPr>
      </w:pPr>
      <w:r>
        <w:rPr>
          <w:rStyle w:val="CharacterStyle2"/>
          <w:rFonts w:ascii="Arial" w:hAnsi="Arial" w:cs="Arial"/>
          <w:spacing w:val="44"/>
          <w:sz w:val="8"/>
          <w:szCs w:val="8"/>
        </w:rPr>
        <w:t xml:space="preserve">   </w:t>
      </w:r>
      <w:r w:rsidR="005136C6">
        <w:rPr>
          <w:rStyle w:val="CharacterStyle2"/>
          <w:rFonts w:ascii="Arial" w:hAnsi="Arial" w:cs="Arial"/>
          <w:spacing w:val="44"/>
          <w:sz w:val="8"/>
          <w:szCs w:val="8"/>
        </w:rPr>
        <w:t>HONOLULU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5930"/>
      </w:tblGrid>
      <w:tr w:rsidR="005136C6" w14:paraId="46120FF1" w14:textId="77777777" w:rsidTr="004A74AA">
        <w:trPr>
          <w:trHeight w:hRule="exact" w:val="25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4E09E7E9" w14:textId="77777777" w:rsidR="005136C6" w:rsidRPr="00BF30E5" w:rsidRDefault="005136C6" w:rsidP="00BF30E5">
            <w:pPr>
              <w:pStyle w:val="Style1"/>
              <w:kinsoku w:val="0"/>
              <w:autoSpaceDE/>
              <w:autoSpaceDN/>
              <w:adjustRightInd/>
              <w:ind w:right="1028"/>
              <w:jc w:val="center"/>
              <w:rPr>
                <w:rStyle w:val="CharacterStyle2"/>
                <w:rFonts w:ascii="Arial Narrow" w:hAnsi="Arial Narrow" w:cs="Arial Narrow"/>
                <w:spacing w:val="50"/>
                <w:sz w:val="10"/>
                <w:szCs w:val="10"/>
              </w:rPr>
            </w:pPr>
            <w:r w:rsidRPr="00BF30E5">
              <w:rPr>
                <w:rStyle w:val="CharacterStyle2"/>
                <w:rFonts w:ascii="Arial Narrow" w:hAnsi="Arial Narrow" w:cs="Arial Narrow"/>
                <w:spacing w:val="50"/>
                <w:sz w:val="10"/>
                <w:szCs w:val="10"/>
              </w:rPr>
              <w:t>DAVID IGE</w:t>
            </w:r>
          </w:p>
          <w:p w14:paraId="6D12AAFC" w14:textId="17BA583D" w:rsidR="005136C6" w:rsidRPr="00BF30E5" w:rsidRDefault="00BF30E5" w:rsidP="00BF30E5">
            <w:pPr>
              <w:pStyle w:val="Style1"/>
              <w:kinsoku w:val="0"/>
              <w:autoSpaceDE/>
              <w:autoSpaceDN/>
              <w:adjustRightInd/>
              <w:spacing w:before="36"/>
              <w:ind w:left="180" w:right="1208"/>
              <w:jc w:val="center"/>
              <w:rPr>
                <w:rStyle w:val="CharacterStyle2"/>
                <w:rFonts w:ascii="Arial" w:hAnsi="Arial" w:cs="Arial"/>
                <w:spacing w:val="36"/>
                <w:sz w:val="10"/>
                <w:szCs w:val="8"/>
              </w:rPr>
            </w:pPr>
            <w:r>
              <w:rPr>
                <w:rStyle w:val="CharacterStyle2"/>
                <w:rFonts w:ascii="Arial" w:hAnsi="Arial" w:cs="Arial"/>
                <w:spacing w:val="36"/>
                <w:sz w:val="10"/>
                <w:szCs w:val="8"/>
              </w:rPr>
              <w:t>GOVERNO</w:t>
            </w:r>
            <w:r w:rsidR="005136C6" w:rsidRPr="00BF30E5">
              <w:rPr>
                <w:rStyle w:val="CharacterStyle2"/>
                <w:rFonts w:ascii="Arial" w:hAnsi="Arial" w:cs="Arial"/>
                <w:spacing w:val="36"/>
                <w:sz w:val="10"/>
                <w:szCs w:val="8"/>
              </w:rPr>
              <w:t>R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6817C" w14:textId="0E405494" w:rsidR="005136C6" w:rsidRPr="00D5507D" w:rsidRDefault="00BF30E5" w:rsidP="00D2173E">
            <w:pPr>
              <w:pStyle w:val="Style1"/>
              <w:tabs>
                <w:tab w:val="left" w:pos="3022"/>
              </w:tabs>
              <w:kinsoku w:val="0"/>
              <w:autoSpaceDE/>
              <w:autoSpaceDN/>
              <w:adjustRightInd/>
              <w:ind w:right="2818"/>
              <w:jc w:val="right"/>
              <w:rPr>
                <w:rStyle w:val="CharacterStyle2"/>
                <w:rFonts w:ascii="Arial" w:hAnsi="Arial" w:cs="Arial"/>
                <w:sz w:val="24"/>
                <w:szCs w:val="24"/>
              </w:rPr>
            </w:pPr>
            <w:r>
              <w:rPr>
                <w:rStyle w:val="CharacterStyle2"/>
                <w:rFonts w:ascii="Arial" w:hAnsi="Arial" w:cs="Arial"/>
                <w:sz w:val="24"/>
                <w:szCs w:val="24"/>
              </w:rPr>
              <w:t xml:space="preserve">     </w:t>
            </w:r>
            <w:r w:rsidR="00D2173E">
              <w:rPr>
                <w:rStyle w:val="CharacterStyle2"/>
                <w:rFonts w:ascii="Arial" w:hAnsi="Arial" w:cs="Arial"/>
                <w:sz w:val="24"/>
                <w:szCs w:val="24"/>
              </w:rPr>
              <w:t>January 1, 2018</w:t>
            </w:r>
          </w:p>
        </w:tc>
      </w:tr>
    </w:tbl>
    <w:p w14:paraId="3DFA7C99" w14:textId="77777777" w:rsidR="005136C6" w:rsidRDefault="005136C6" w:rsidP="00BF30E5">
      <w:pPr>
        <w:tabs>
          <w:tab w:val="left" w:pos="4410"/>
        </w:tabs>
        <w:spacing w:after="700" w:line="20" w:lineRule="exact"/>
      </w:pPr>
    </w:p>
    <w:p w14:paraId="4D8ADEF6" w14:textId="0E027DE6" w:rsidR="005136C6" w:rsidRDefault="005136C6" w:rsidP="005136C6">
      <w:pPr>
        <w:pStyle w:val="Style1"/>
        <w:tabs>
          <w:tab w:val="right" w:pos="3420"/>
        </w:tabs>
        <w:kinsoku w:val="0"/>
        <w:autoSpaceDE/>
        <w:autoSpaceDN/>
        <w:adjustRightInd/>
        <w:spacing w:line="480" w:lineRule="auto"/>
        <w:ind w:right="4104"/>
        <w:rPr>
          <w:rStyle w:val="CharacterStyle2"/>
          <w:rFonts w:ascii="Arial" w:hAnsi="Arial" w:cs="Arial"/>
          <w:sz w:val="24"/>
        </w:rPr>
      </w:pPr>
      <w:r w:rsidRPr="00D5507D">
        <w:rPr>
          <w:rStyle w:val="CharacterStyle2"/>
          <w:rFonts w:ascii="Arial" w:hAnsi="Arial" w:cs="Arial"/>
          <w:sz w:val="24"/>
        </w:rPr>
        <w:t>AD</w:t>
      </w:r>
      <w:r w:rsidR="00D2173E">
        <w:rPr>
          <w:rStyle w:val="CharacterStyle2"/>
          <w:rFonts w:ascii="Arial" w:hAnsi="Arial" w:cs="Arial"/>
          <w:sz w:val="24"/>
        </w:rPr>
        <w:t>MINISTRATIVE DIRECTIVE NO. 18</w:t>
      </w:r>
      <w:r w:rsidR="00032976">
        <w:rPr>
          <w:rStyle w:val="CharacterStyle2"/>
          <w:rFonts w:ascii="Arial" w:hAnsi="Arial" w:cs="Arial"/>
          <w:sz w:val="24"/>
        </w:rPr>
        <w:t>-02</w:t>
      </w:r>
    </w:p>
    <w:p w14:paraId="01E818CB" w14:textId="77777777" w:rsidR="006D2D0A" w:rsidRPr="00D5507D" w:rsidRDefault="006D2D0A" w:rsidP="005136C6">
      <w:pPr>
        <w:pStyle w:val="Style1"/>
        <w:tabs>
          <w:tab w:val="right" w:pos="3420"/>
        </w:tabs>
        <w:kinsoku w:val="0"/>
        <w:autoSpaceDE/>
        <w:autoSpaceDN/>
        <w:adjustRightInd/>
        <w:spacing w:line="480" w:lineRule="auto"/>
        <w:ind w:right="4104"/>
        <w:rPr>
          <w:rStyle w:val="CharacterStyle2"/>
          <w:rFonts w:ascii="Arial" w:hAnsi="Arial" w:cs="Arial"/>
          <w:sz w:val="24"/>
        </w:rPr>
      </w:pPr>
    </w:p>
    <w:p w14:paraId="639853FD" w14:textId="77777777" w:rsidR="005136C6" w:rsidRPr="00D5507D" w:rsidRDefault="005136C6" w:rsidP="005136C6">
      <w:pPr>
        <w:pStyle w:val="Style1"/>
        <w:tabs>
          <w:tab w:val="left" w:pos="1440"/>
          <w:tab w:val="right" w:pos="3420"/>
        </w:tabs>
        <w:kinsoku w:val="0"/>
        <w:autoSpaceDE/>
        <w:autoSpaceDN/>
        <w:adjustRightInd/>
        <w:spacing w:line="480" w:lineRule="auto"/>
        <w:ind w:right="4104"/>
        <w:rPr>
          <w:rStyle w:val="CharacterStyle2"/>
          <w:rFonts w:ascii="Arial" w:hAnsi="Arial" w:cs="Arial"/>
          <w:sz w:val="24"/>
          <w:szCs w:val="24"/>
        </w:rPr>
      </w:pPr>
      <w:r w:rsidRPr="00D5507D">
        <w:rPr>
          <w:rStyle w:val="CharacterStyle2"/>
          <w:rFonts w:ascii="Arial" w:hAnsi="Arial" w:cs="Arial"/>
          <w:sz w:val="24"/>
          <w:szCs w:val="24"/>
        </w:rPr>
        <w:t>To:</w:t>
      </w:r>
      <w:r w:rsidRPr="00D5507D">
        <w:rPr>
          <w:rStyle w:val="CharacterStyle2"/>
          <w:rFonts w:ascii="Arial" w:hAnsi="Arial" w:cs="Arial"/>
          <w:sz w:val="24"/>
          <w:szCs w:val="24"/>
        </w:rPr>
        <w:tab/>
        <w:t>Department Directors</w:t>
      </w:r>
    </w:p>
    <w:p w14:paraId="65DAFBD5" w14:textId="77777777" w:rsidR="005136C6" w:rsidRPr="00D5507D" w:rsidRDefault="005136C6" w:rsidP="005136C6">
      <w:pPr>
        <w:pStyle w:val="Style2"/>
        <w:kinsoku w:val="0"/>
        <w:autoSpaceDE/>
        <w:autoSpaceDN/>
        <w:spacing w:before="144"/>
        <w:ind w:left="0"/>
        <w:rPr>
          <w:rStyle w:val="CharacterStyle1"/>
          <w:sz w:val="24"/>
          <w:szCs w:val="24"/>
        </w:rPr>
      </w:pPr>
      <w:r w:rsidRPr="00D5507D">
        <w:rPr>
          <w:rStyle w:val="CharacterStyle1"/>
          <w:spacing w:val="-6"/>
          <w:sz w:val="24"/>
          <w:szCs w:val="24"/>
        </w:rPr>
        <w:t xml:space="preserve">Subject: </w:t>
      </w:r>
      <w:r w:rsidRPr="00D5507D">
        <w:rPr>
          <w:rStyle w:val="CharacterStyle1"/>
          <w:spacing w:val="-6"/>
          <w:sz w:val="24"/>
          <w:szCs w:val="24"/>
        </w:rPr>
        <w:tab/>
      </w:r>
      <w:r w:rsidRPr="00D5507D">
        <w:rPr>
          <w:rStyle w:val="CharacterStyle1"/>
          <w:sz w:val="24"/>
          <w:szCs w:val="24"/>
        </w:rPr>
        <w:t>Policy and Procedure for the Adoption, Amendment, or Repeal of</w:t>
      </w:r>
    </w:p>
    <w:p w14:paraId="1CFBFBF0" w14:textId="77777777" w:rsidR="005136C6" w:rsidRPr="00D5507D" w:rsidRDefault="005136C6" w:rsidP="005136C6">
      <w:pPr>
        <w:pStyle w:val="Style1"/>
        <w:kinsoku w:val="0"/>
        <w:autoSpaceDE/>
        <w:autoSpaceDN/>
        <w:adjustRightInd/>
        <w:spacing w:line="208" w:lineRule="auto"/>
        <w:ind w:left="720" w:firstLine="720"/>
        <w:rPr>
          <w:rStyle w:val="CharacterStyle2"/>
          <w:rFonts w:ascii="Arial" w:hAnsi="Arial" w:cs="Arial"/>
          <w:sz w:val="24"/>
          <w:szCs w:val="24"/>
        </w:rPr>
      </w:pPr>
      <w:r w:rsidRPr="00D5507D">
        <w:rPr>
          <w:rStyle w:val="CharacterStyle2"/>
          <w:rFonts w:ascii="Arial" w:hAnsi="Arial" w:cs="Arial"/>
          <w:sz w:val="24"/>
          <w:szCs w:val="24"/>
        </w:rPr>
        <w:t>Hawaii Administrative Rules</w:t>
      </w:r>
    </w:p>
    <w:p w14:paraId="09FCECB3" w14:textId="77777777" w:rsidR="005136C6" w:rsidRPr="00D5507D" w:rsidRDefault="005136C6" w:rsidP="005136C6">
      <w:pPr>
        <w:pStyle w:val="Style2"/>
        <w:kinsoku w:val="0"/>
        <w:autoSpaceDE/>
        <w:autoSpaceDN/>
        <w:ind w:left="0"/>
        <w:rPr>
          <w:rStyle w:val="CharacterStyle1"/>
          <w:sz w:val="24"/>
          <w:szCs w:val="24"/>
        </w:rPr>
      </w:pPr>
      <w:r w:rsidRPr="00D5507D">
        <w:rPr>
          <w:rStyle w:val="CharacterStyle1"/>
          <w:spacing w:val="-3"/>
          <w:sz w:val="24"/>
          <w:szCs w:val="24"/>
        </w:rPr>
        <w:t xml:space="preserve">This administrative directive updates the policy and procedure by which departments or </w:t>
      </w:r>
      <w:r w:rsidRPr="00D5507D">
        <w:rPr>
          <w:rStyle w:val="CharacterStyle1"/>
          <w:spacing w:val="1"/>
          <w:sz w:val="24"/>
          <w:szCs w:val="24"/>
        </w:rPr>
        <w:t xml:space="preserve">agencies shall request executive approval of any proposed adoption, amendment, or </w:t>
      </w:r>
      <w:r w:rsidRPr="00D5507D">
        <w:rPr>
          <w:rStyle w:val="CharacterStyle1"/>
          <w:spacing w:val="-4"/>
          <w:sz w:val="24"/>
          <w:szCs w:val="24"/>
        </w:rPr>
        <w:t xml:space="preserve">repeal of administrative rules. It replaces Administrative Directive No. 09-01, Policy and </w:t>
      </w:r>
      <w:r w:rsidRPr="00D5507D">
        <w:rPr>
          <w:rStyle w:val="CharacterStyle1"/>
          <w:spacing w:val="3"/>
          <w:sz w:val="24"/>
          <w:szCs w:val="24"/>
        </w:rPr>
        <w:t xml:space="preserve">Procedure for the Adoption, Amendment, or Repeal of Administrative Rules, dated </w:t>
      </w:r>
      <w:r w:rsidRPr="00D5507D">
        <w:rPr>
          <w:rStyle w:val="CharacterStyle1"/>
          <w:sz w:val="24"/>
          <w:szCs w:val="24"/>
        </w:rPr>
        <w:t>October 29, 2009.</w:t>
      </w:r>
    </w:p>
    <w:p w14:paraId="47113F95" w14:textId="77777777" w:rsidR="005136C6" w:rsidRPr="00F706D6" w:rsidRDefault="005136C6" w:rsidP="005136C6">
      <w:pPr>
        <w:pStyle w:val="Style2"/>
        <w:kinsoku w:val="0"/>
        <w:autoSpaceDE/>
        <w:autoSpaceDN/>
        <w:ind w:left="0"/>
        <w:rPr>
          <w:rStyle w:val="CharacterStyle1"/>
          <w:b/>
          <w:spacing w:val="-8"/>
          <w:w w:val="105"/>
          <w:sz w:val="24"/>
          <w:szCs w:val="24"/>
          <w:u w:val="single"/>
        </w:rPr>
      </w:pPr>
      <w:r w:rsidRPr="00F706D6">
        <w:rPr>
          <w:rStyle w:val="CharacterStyle1"/>
          <w:b/>
          <w:spacing w:val="-8"/>
          <w:w w:val="105"/>
          <w:sz w:val="24"/>
          <w:szCs w:val="24"/>
          <w:u w:val="single"/>
        </w:rPr>
        <w:t>Legal Reference</w:t>
      </w:r>
      <w:r w:rsidR="004A74AA" w:rsidRPr="00F706D6">
        <w:rPr>
          <w:rStyle w:val="CharacterStyle1"/>
          <w:b/>
          <w:spacing w:val="-8"/>
          <w:w w:val="105"/>
          <w:sz w:val="24"/>
          <w:szCs w:val="24"/>
          <w:u w:val="single"/>
        </w:rPr>
        <w:t>s</w:t>
      </w:r>
      <w:r w:rsidR="00F12533" w:rsidRPr="00F706D6">
        <w:rPr>
          <w:rStyle w:val="CharacterStyle1"/>
          <w:b/>
          <w:spacing w:val="-8"/>
          <w:w w:val="105"/>
          <w:sz w:val="24"/>
          <w:szCs w:val="24"/>
          <w:u w:val="single"/>
        </w:rPr>
        <w:t>:</w:t>
      </w:r>
    </w:p>
    <w:p w14:paraId="7BC10593" w14:textId="77777777" w:rsidR="004A74AA" w:rsidRPr="00D5507D" w:rsidRDefault="004A74AA" w:rsidP="00F12533">
      <w:pPr>
        <w:pStyle w:val="Style2"/>
        <w:numPr>
          <w:ilvl w:val="0"/>
          <w:numId w:val="1"/>
        </w:numPr>
        <w:kinsoku w:val="0"/>
        <w:autoSpaceDE/>
        <w:autoSpaceDN/>
        <w:ind w:left="540"/>
        <w:rPr>
          <w:rStyle w:val="CharacterStyle1"/>
          <w:sz w:val="24"/>
          <w:szCs w:val="24"/>
        </w:rPr>
      </w:pPr>
      <w:r w:rsidRPr="00D5507D">
        <w:rPr>
          <w:rStyle w:val="CharacterStyle1"/>
          <w:spacing w:val="-1"/>
          <w:sz w:val="24"/>
          <w:szCs w:val="24"/>
        </w:rPr>
        <w:t>Hawaii Revised Statutes</w:t>
      </w:r>
      <w:r w:rsidR="00336EF5" w:rsidRPr="00D5507D">
        <w:rPr>
          <w:rStyle w:val="CharacterStyle1"/>
          <w:spacing w:val="-1"/>
          <w:sz w:val="24"/>
          <w:szCs w:val="24"/>
        </w:rPr>
        <w:t xml:space="preserve"> </w:t>
      </w:r>
      <w:r w:rsidRPr="00D5507D">
        <w:rPr>
          <w:rStyle w:val="CharacterStyle1"/>
          <w:spacing w:val="-1"/>
          <w:sz w:val="24"/>
          <w:szCs w:val="24"/>
        </w:rPr>
        <w:t>Chapter</w:t>
      </w:r>
      <w:r w:rsidR="005136C6" w:rsidRPr="00D5507D">
        <w:rPr>
          <w:rStyle w:val="CharacterStyle1"/>
          <w:spacing w:val="-1"/>
          <w:sz w:val="24"/>
          <w:szCs w:val="24"/>
        </w:rPr>
        <w:t xml:space="preserve"> 91</w:t>
      </w:r>
    </w:p>
    <w:p w14:paraId="36FFDF6D" w14:textId="77777777" w:rsidR="00834012" w:rsidRPr="00D5507D" w:rsidRDefault="004A74AA" w:rsidP="00F12533">
      <w:pPr>
        <w:pStyle w:val="Style2"/>
        <w:numPr>
          <w:ilvl w:val="0"/>
          <w:numId w:val="1"/>
        </w:numPr>
        <w:kinsoku w:val="0"/>
        <w:autoSpaceDE/>
        <w:autoSpaceDN/>
        <w:ind w:left="540"/>
        <w:rPr>
          <w:rStyle w:val="CharacterStyle1"/>
          <w:sz w:val="24"/>
          <w:szCs w:val="24"/>
        </w:rPr>
      </w:pPr>
      <w:r w:rsidRPr="00D5507D">
        <w:rPr>
          <w:rStyle w:val="CharacterStyle1"/>
          <w:spacing w:val="4"/>
          <w:sz w:val="24"/>
          <w:szCs w:val="24"/>
        </w:rPr>
        <w:t>H</w:t>
      </w:r>
      <w:r w:rsidR="005136C6" w:rsidRPr="00D5507D">
        <w:rPr>
          <w:rStyle w:val="CharacterStyle1"/>
          <w:spacing w:val="4"/>
          <w:sz w:val="24"/>
          <w:szCs w:val="24"/>
        </w:rPr>
        <w:t xml:space="preserve">awaii Revised Statutes Chapter 201M, the "Hawaii Small Business Regulatory </w:t>
      </w:r>
      <w:r w:rsidR="005136C6" w:rsidRPr="00D5507D">
        <w:rPr>
          <w:rStyle w:val="CharacterStyle1"/>
          <w:sz w:val="24"/>
          <w:szCs w:val="24"/>
        </w:rPr>
        <w:t>Flexibility Act," requires that if a proposed rule "affects small business," the department or agency shall submit a "small business impact statement" and a "small business statement" to the Small Business Regulatory Review Board. Chapter 201M does not apply to emergency rulemaking or rules adopted to comply with a federal requirement.</w:t>
      </w:r>
    </w:p>
    <w:p w14:paraId="112B185D" w14:textId="77777777" w:rsidR="002211A6" w:rsidRPr="00F706D6" w:rsidRDefault="00F12533" w:rsidP="002211A6">
      <w:pPr>
        <w:pStyle w:val="Style2"/>
        <w:kinsoku w:val="0"/>
        <w:autoSpaceDE/>
        <w:autoSpaceDN/>
        <w:rPr>
          <w:b/>
          <w:sz w:val="24"/>
          <w:szCs w:val="24"/>
          <w:u w:val="single"/>
        </w:rPr>
      </w:pPr>
      <w:r w:rsidRPr="00F706D6">
        <w:rPr>
          <w:b/>
          <w:sz w:val="24"/>
          <w:szCs w:val="24"/>
          <w:u w:val="single"/>
        </w:rPr>
        <w:t>Policy:</w:t>
      </w:r>
    </w:p>
    <w:p w14:paraId="3D52715D" w14:textId="55127AE9" w:rsidR="002211A6" w:rsidRDefault="002211A6" w:rsidP="00300265">
      <w:pPr>
        <w:pStyle w:val="Style2"/>
        <w:numPr>
          <w:ilvl w:val="0"/>
          <w:numId w:val="3"/>
        </w:numPr>
        <w:kinsoku w:val="0"/>
        <w:autoSpaceDE/>
        <w:autoSpaceDN/>
        <w:rPr>
          <w:sz w:val="24"/>
          <w:szCs w:val="24"/>
        </w:rPr>
      </w:pPr>
      <w:r w:rsidRPr="00D5507D">
        <w:rPr>
          <w:sz w:val="24"/>
          <w:szCs w:val="24"/>
        </w:rPr>
        <w:t>All request</w:t>
      </w:r>
      <w:r w:rsidR="00D5507D">
        <w:rPr>
          <w:sz w:val="24"/>
          <w:szCs w:val="24"/>
        </w:rPr>
        <w:t>s</w:t>
      </w:r>
      <w:r w:rsidRPr="00D5507D">
        <w:rPr>
          <w:sz w:val="24"/>
          <w:szCs w:val="24"/>
        </w:rPr>
        <w:t xml:space="preserve"> regarding Hawaii Administrative Rules must be </w:t>
      </w:r>
      <w:r w:rsidR="003123A9" w:rsidRPr="00D5507D">
        <w:rPr>
          <w:sz w:val="24"/>
          <w:szCs w:val="24"/>
        </w:rPr>
        <w:t>submitted</w:t>
      </w:r>
      <w:r w:rsidRPr="00D5507D">
        <w:rPr>
          <w:sz w:val="24"/>
          <w:szCs w:val="24"/>
        </w:rPr>
        <w:t xml:space="preserve"> through Hawaii Administrative</w:t>
      </w:r>
      <w:r w:rsidR="00300265">
        <w:rPr>
          <w:sz w:val="24"/>
          <w:szCs w:val="24"/>
        </w:rPr>
        <w:t xml:space="preserve"> Rules Processing Site (HARPS).</w:t>
      </w:r>
      <w:r w:rsidR="00300265" w:rsidRPr="00300265">
        <w:t xml:space="preserve"> </w:t>
      </w:r>
    </w:p>
    <w:p w14:paraId="41021B5B" w14:textId="4FFF79AD" w:rsidR="00300265" w:rsidRDefault="0042540A" w:rsidP="00300265">
      <w:pPr>
        <w:pStyle w:val="Style2"/>
        <w:kinsoku w:val="0"/>
        <w:autoSpaceDE/>
        <w:autoSpaceDN/>
        <w:ind w:left="504"/>
        <w:rPr>
          <w:sz w:val="24"/>
          <w:szCs w:val="24"/>
        </w:rPr>
      </w:pPr>
      <w:hyperlink r:id="rId8" w:history="1">
        <w:r w:rsidR="00BF30E5" w:rsidRPr="005D576D">
          <w:rPr>
            <w:rStyle w:val="Hyperlink"/>
            <w:sz w:val="24"/>
            <w:szCs w:val="24"/>
          </w:rPr>
          <w:t>https://hawaiioimt.sharepoint.com/sites/gov/adminrules/</w:t>
        </w:r>
      </w:hyperlink>
    </w:p>
    <w:p w14:paraId="07A64390" w14:textId="5144FF88" w:rsidR="00BF30E5" w:rsidRDefault="00BF30E5" w:rsidP="00300265">
      <w:pPr>
        <w:pStyle w:val="Style2"/>
        <w:kinsoku w:val="0"/>
        <w:autoSpaceDE/>
        <w:autoSpaceDN/>
        <w:ind w:left="504"/>
        <w:rPr>
          <w:sz w:val="24"/>
          <w:szCs w:val="24"/>
        </w:rPr>
      </w:pPr>
      <w:r>
        <w:rPr>
          <w:sz w:val="24"/>
          <w:szCs w:val="24"/>
        </w:rPr>
        <w:t>Prior to all submittals, the department must obtain the Attorney General’s approval “as to form”.</w:t>
      </w:r>
    </w:p>
    <w:p w14:paraId="1ED3E4DD" w14:textId="77777777" w:rsidR="00733F8B" w:rsidRPr="00F706D6" w:rsidRDefault="00733F8B" w:rsidP="002211A6">
      <w:pPr>
        <w:pStyle w:val="Style2"/>
        <w:numPr>
          <w:ilvl w:val="0"/>
          <w:numId w:val="3"/>
        </w:numPr>
        <w:kinsoku w:val="0"/>
        <w:autoSpaceDE/>
        <w:autoSpaceDN/>
        <w:rPr>
          <w:b/>
          <w:sz w:val="24"/>
          <w:szCs w:val="24"/>
        </w:rPr>
      </w:pPr>
      <w:r w:rsidRPr="00F706D6">
        <w:rPr>
          <w:b/>
          <w:sz w:val="24"/>
          <w:szCs w:val="24"/>
        </w:rPr>
        <w:t>Small Business Regulatory Flexibility Act</w:t>
      </w:r>
    </w:p>
    <w:p w14:paraId="41FFB13A" w14:textId="38EDE4DD" w:rsidR="000B2EE7" w:rsidRDefault="00733F8B" w:rsidP="00733F8B">
      <w:pPr>
        <w:pStyle w:val="Style2"/>
        <w:kinsoku w:val="0"/>
        <w:autoSpaceDE/>
        <w:autoSpaceDN/>
        <w:ind w:left="504"/>
        <w:rPr>
          <w:sz w:val="24"/>
          <w:szCs w:val="24"/>
        </w:rPr>
      </w:pPr>
      <w:r>
        <w:rPr>
          <w:sz w:val="24"/>
          <w:szCs w:val="24"/>
        </w:rPr>
        <w:t xml:space="preserve">In accordance with Chapter 201M, the department must complete the following </w:t>
      </w:r>
      <w:r w:rsidR="00E608CB">
        <w:rPr>
          <w:sz w:val="24"/>
          <w:szCs w:val="24"/>
        </w:rPr>
        <w:lastRenderedPageBreak/>
        <w:t xml:space="preserve">steps </w:t>
      </w:r>
      <w:r w:rsidRPr="003E100E">
        <w:rPr>
          <w:sz w:val="24"/>
          <w:szCs w:val="24"/>
        </w:rPr>
        <w:t>before</w:t>
      </w:r>
      <w:r>
        <w:rPr>
          <w:sz w:val="24"/>
          <w:szCs w:val="24"/>
        </w:rPr>
        <w:t xml:space="preserve"> submitting </w:t>
      </w:r>
      <w:r w:rsidR="00E608CB">
        <w:rPr>
          <w:sz w:val="24"/>
          <w:szCs w:val="24"/>
        </w:rPr>
        <w:t xml:space="preserve">a request to conduct </w:t>
      </w:r>
      <w:r>
        <w:rPr>
          <w:sz w:val="24"/>
          <w:szCs w:val="24"/>
        </w:rPr>
        <w:t>public hearing if the propose</w:t>
      </w:r>
      <w:r w:rsidR="00E608CB">
        <w:rPr>
          <w:sz w:val="24"/>
          <w:szCs w:val="24"/>
        </w:rPr>
        <w:t>d</w:t>
      </w:r>
      <w:r>
        <w:rPr>
          <w:sz w:val="24"/>
          <w:szCs w:val="24"/>
        </w:rPr>
        <w:t xml:space="preserve"> rule affects small business:</w:t>
      </w:r>
    </w:p>
    <w:p w14:paraId="093EC7BA" w14:textId="77777777" w:rsidR="00733F8B" w:rsidRDefault="007035CD" w:rsidP="00733F8B">
      <w:pPr>
        <w:pStyle w:val="Style2"/>
        <w:numPr>
          <w:ilvl w:val="1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733F8B">
        <w:rPr>
          <w:sz w:val="24"/>
          <w:szCs w:val="24"/>
        </w:rPr>
        <w:t>Small Business Impact Statement</w:t>
      </w:r>
    </w:p>
    <w:p w14:paraId="4880F340" w14:textId="646EBB73" w:rsidR="00733F8B" w:rsidRDefault="007035CD" w:rsidP="00733F8B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See HRS </w:t>
      </w:r>
      <w:r w:rsidR="00C94AB6">
        <w:rPr>
          <w:sz w:val="24"/>
          <w:szCs w:val="24"/>
        </w:rPr>
        <w:t xml:space="preserve">Section </w:t>
      </w:r>
      <w:r>
        <w:rPr>
          <w:sz w:val="24"/>
          <w:szCs w:val="24"/>
        </w:rPr>
        <w:t>201M-2</w:t>
      </w:r>
    </w:p>
    <w:p w14:paraId="1600BF6F" w14:textId="77777777" w:rsidR="007035CD" w:rsidRPr="0053334F" w:rsidRDefault="003B584E" w:rsidP="0053334F">
      <w:pPr>
        <w:pStyle w:val="Style2"/>
        <w:numPr>
          <w:ilvl w:val="1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Submit Small Business Impact Statement and proposed rules to the Small Business Regulatory Review Board</w:t>
      </w:r>
    </w:p>
    <w:p w14:paraId="35BCCF5B" w14:textId="77777777" w:rsidR="002211A6" w:rsidRPr="00F706D6" w:rsidRDefault="00E147D8" w:rsidP="002211A6">
      <w:pPr>
        <w:pStyle w:val="Style2"/>
        <w:numPr>
          <w:ilvl w:val="0"/>
          <w:numId w:val="3"/>
        </w:numPr>
        <w:kinsoku w:val="0"/>
        <w:autoSpaceDE/>
        <w:autoSpaceDN/>
        <w:rPr>
          <w:b/>
          <w:sz w:val="24"/>
          <w:szCs w:val="24"/>
        </w:rPr>
      </w:pPr>
      <w:r w:rsidRPr="00F706D6">
        <w:rPr>
          <w:b/>
          <w:sz w:val="24"/>
          <w:szCs w:val="24"/>
        </w:rPr>
        <w:t>Public Hearing</w:t>
      </w:r>
      <w:r w:rsidR="00915E37" w:rsidRPr="00F706D6">
        <w:rPr>
          <w:b/>
          <w:sz w:val="24"/>
          <w:szCs w:val="24"/>
        </w:rPr>
        <w:t xml:space="preserve"> Approval</w:t>
      </w:r>
    </w:p>
    <w:p w14:paraId="276B9B38" w14:textId="13F86381" w:rsidR="006063F6" w:rsidRDefault="00E608CB" w:rsidP="00F12533">
      <w:pPr>
        <w:pStyle w:val="Style2"/>
        <w:kinsoku w:val="0"/>
        <w:autoSpaceDE/>
        <w:autoSpaceDN/>
        <w:ind w:left="504"/>
        <w:rPr>
          <w:sz w:val="24"/>
          <w:szCs w:val="24"/>
        </w:rPr>
      </w:pPr>
      <w:r>
        <w:rPr>
          <w:sz w:val="24"/>
          <w:szCs w:val="24"/>
        </w:rPr>
        <w:t>In the</w:t>
      </w:r>
      <w:r w:rsidR="00F12533">
        <w:rPr>
          <w:sz w:val="24"/>
          <w:szCs w:val="24"/>
        </w:rPr>
        <w:t xml:space="preserve"> </w:t>
      </w:r>
      <w:r>
        <w:rPr>
          <w:sz w:val="24"/>
          <w:szCs w:val="24"/>
        </w:rPr>
        <w:t>request to conduct</w:t>
      </w:r>
      <w:r w:rsidR="00F12533">
        <w:rPr>
          <w:sz w:val="24"/>
          <w:szCs w:val="24"/>
        </w:rPr>
        <w:t xml:space="preserve"> public hearing, the department will provide response to the following:</w:t>
      </w:r>
    </w:p>
    <w:p w14:paraId="662E7FEB" w14:textId="77777777" w:rsidR="00F12533" w:rsidRDefault="00F12533" w:rsidP="00F12533">
      <w:pPr>
        <w:pStyle w:val="Style2"/>
        <w:numPr>
          <w:ilvl w:val="1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Summary of changes</w:t>
      </w:r>
    </w:p>
    <w:p w14:paraId="20EE4CA4" w14:textId="77777777" w:rsidR="00F12533" w:rsidRDefault="00F12533" w:rsidP="00F12533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Why is thi</w:t>
      </w:r>
      <w:r w:rsidR="005720DD">
        <w:rPr>
          <w:sz w:val="24"/>
          <w:szCs w:val="24"/>
        </w:rPr>
        <w:t>s section of Hawaii Administrative Rules being amended?</w:t>
      </w:r>
    </w:p>
    <w:p w14:paraId="70FEE320" w14:textId="77777777" w:rsidR="005720DD" w:rsidRDefault="005720DD" w:rsidP="00F12533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What problem is the rule change meant to solve?</w:t>
      </w:r>
    </w:p>
    <w:p w14:paraId="7D5C41A0" w14:textId="77777777" w:rsidR="003E100E" w:rsidRDefault="003E100E" w:rsidP="00F12533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List all changes that are being made</w:t>
      </w:r>
      <w:r w:rsidR="00E608CB">
        <w:rPr>
          <w:sz w:val="24"/>
          <w:szCs w:val="24"/>
        </w:rPr>
        <w:t>.</w:t>
      </w:r>
    </w:p>
    <w:p w14:paraId="574E92D5" w14:textId="3D4C1DD3" w:rsidR="005720DD" w:rsidRPr="00F12533" w:rsidRDefault="005720DD" w:rsidP="005720DD">
      <w:pPr>
        <w:pStyle w:val="Style2"/>
        <w:numPr>
          <w:ilvl w:val="1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Impact of </w:t>
      </w:r>
      <w:r w:rsidR="009A54AB">
        <w:rPr>
          <w:sz w:val="24"/>
          <w:szCs w:val="24"/>
        </w:rPr>
        <w:t>c</w:t>
      </w:r>
      <w:r>
        <w:rPr>
          <w:sz w:val="24"/>
          <w:szCs w:val="24"/>
        </w:rPr>
        <w:t>hanges</w:t>
      </w:r>
    </w:p>
    <w:p w14:paraId="7C63CB05" w14:textId="77777777" w:rsidR="006063F6" w:rsidRDefault="005720DD" w:rsidP="006063F6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How does this rule change address the problem?</w:t>
      </w:r>
    </w:p>
    <w:p w14:paraId="1B707043" w14:textId="77777777" w:rsidR="005720DD" w:rsidRDefault="00AE5BCC" w:rsidP="00AE5BCC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Who are the stakeholders? Positive and negative.</w:t>
      </w:r>
    </w:p>
    <w:p w14:paraId="438F6E1E" w14:textId="77777777" w:rsidR="003E100E" w:rsidRDefault="003E100E" w:rsidP="00AE5BCC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What are the potential problems with the rule change?</w:t>
      </w:r>
    </w:p>
    <w:p w14:paraId="70803C14" w14:textId="77777777" w:rsidR="00AE5BCC" w:rsidRDefault="00AE5BCC" w:rsidP="00AE5BCC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What is the fiscal impact?</w:t>
      </w:r>
    </w:p>
    <w:p w14:paraId="028DBA8A" w14:textId="77777777" w:rsidR="00AE5BCC" w:rsidRDefault="00AE5BCC" w:rsidP="00AE5BCC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What is the economic impact to the State?</w:t>
      </w:r>
    </w:p>
    <w:p w14:paraId="52C24AAD" w14:textId="5B5F62E8" w:rsidR="00AE5BCC" w:rsidRDefault="00AE5BCC" w:rsidP="00AE5BCC">
      <w:pPr>
        <w:pStyle w:val="Style2"/>
        <w:numPr>
          <w:ilvl w:val="1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Consequences if </w:t>
      </w:r>
      <w:r w:rsidR="009A54AB">
        <w:rPr>
          <w:sz w:val="24"/>
          <w:szCs w:val="24"/>
        </w:rPr>
        <w:t>c</w:t>
      </w:r>
      <w:r>
        <w:rPr>
          <w:sz w:val="24"/>
          <w:szCs w:val="24"/>
        </w:rPr>
        <w:t xml:space="preserve">hanges are </w:t>
      </w:r>
      <w:r w:rsidR="009A54AB">
        <w:rPr>
          <w:sz w:val="24"/>
          <w:szCs w:val="24"/>
        </w:rPr>
        <w:t>n</w:t>
      </w:r>
      <w:r>
        <w:rPr>
          <w:sz w:val="24"/>
          <w:szCs w:val="24"/>
        </w:rPr>
        <w:t xml:space="preserve">ot </w:t>
      </w:r>
      <w:r w:rsidR="009A54AB">
        <w:rPr>
          <w:sz w:val="24"/>
          <w:szCs w:val="24"/>
        </w:rPr>
        <w:t>m</w:t>
      </w:r>
      <w:r>
        <w:rPr>
          <w:sz w:val="24"/>
          <w:szCs w:val="24"/>
        </w:rPr>
        <w:t>ade</w:t>
      </w:r>
    </w:p>
    <w:p w14:paraId="02B7A804" w14:textId="77777777" w:rsidR="00AE5BCC" w:rsidRDefault="00AE5BCC" w:rsidP="00AE5BCC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What are the consequences if the rule change does not get adopted</w:t>
      </w:r>
      <w:r w:rsidR="00E608CB">
        <w:rPr>
          <w:sz w:val="24"/>
          <w:szCs w:val="24"/>
        </w:rPr>
        <w:t>, amended or repealed</w:t>
      </w:r>
      <w:r>
        <w:rPr>
          <w:sz w:val="24"/>
          <w:szCs w:val="24"/>
        </w:rPr>
        <w:t>?</w:t>
      </w:r>
    </w:p>
    <w:p w14:paraId="5AB55AC6" w14:textId="77777777" w:rsidR="00915E37" w:rsidRPr="00F706D6" w:rsidRDefault="00915E37" w:rsidP="00915E37">
      <w:pPr>
        <w:pStyle w:val="Style2"/>
        <w:numPr>
          <w:ilvl w:val="0"/>
          <w:numId w:val="3"/>
        </w:numPr>
        <w:kinsoku w:val="0"/>
        <w:autoSpaceDE/>
        <w:autoSpaceDN/>
        <w:rPr>
          <w:b/>
          <w:sz w:val="24"/>
          <w:szCs w:val="24"/>
        </w:rPr>
      </w:pPr>
      <w:r w:rsidRPr="00F706D6">
        <w:rPr>
          <w:b/>
          <w:sz w:val="24"/>
          <w:szCs w:val="24"/>
        </w:rPr>
        <w:t>Public Hearings</w:t>
      </w:r>
    </w:p>
    <w:p w14:paraId="7A68360B" w14:textId="77777777" w:rsidR="00915E37" w:rsidRDefault="00915E37" w:rsidP="00915E37">
      <w:pPr>
        <w:pStyle w:val="Style2"/>
        <w:kinsoku w:val="0"/>
        <w:autoSpaceDE/>
        <w:autoSpaceDN/>
        <w:ind w:left="504"/>
        <w:rPr>
          <w:sz w:val="24"/>
          <w:szCs w:val="24"/>
        </w:rPr>
      </w:pPr>
      <w:r>
        <w:rPr>
          <w:sz w:val="24"/>
          <w:szCs w:val="24"/>
        </w:rPr>
        <w:t xml:space="preserve">Upon approval of public hearing request, the department must enter all public hearing dates, times, and locations into HARPS.  </w:t>
      </w:r>
    </w:p>
    <w:p w14:paraId="0AEE4C38" w14:textId="77777777" w:rsidR="00915E37" w:rsidRDefault="00915E37" w:rsidP="00915E37">
      <w:pPr>
        <w:pStyle w:val="Style2"/>
        <w:numPr>
          <w:ilvl w:val="1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The department must be considerate of all parties being affected and schedule public hearings to allow for adequate feedback.</w:t>
      </w:r>
    </w:p>
    <w:p w14:paraId="72EEBC82" w14:textId="33FF146A" w:rsidR="00915E37" w:rsidRDefault="00915E37" w:rsidP="00915E37">
      <w:pPr>
        <w:pStyle w:val="Style2"/>
        <w:numPr>
          <w:ilvl w:val="1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The department must a</w:t>
      </w:r>
      <w:r w:rsidR="00E663A1">
        <w:rPr>
          <w:sz w:val="24"/>
          <w:szCs w:val="24"/>
        </w:rPr>
        <w:t>ccept</w:t>
      </w:r>
      <w:r>
        <w:rPr>
          <w:sz w:val="24"/>
          <w:szCs w:val="24"/>
        </w:rPr>
        <w:t xml:space="preserve"> </w:t>
      </w:r>
      <w:r w:rsidR="00B93CB0">
        <w:rPr>
          <w:sz w:val="24"/>
          <w:szCs w:val="24"/>
        </w:rPr>
        <w:t xml:space="preserve">written </w:t>
      </w:r>
      <w:r>
        <w:rPr>
          <w:sz w:val="24"/>
          <w:szCs w:val="24"/>
        </w:rPr>
        <w:t xml:space="preserve">testimony </w:t>
      </w:r>
      <w:r w:rsidR="00E663A1">
        <w:rPr>
          <w:sz w:val="24"/>
          <w:szCs w:val="24"/>
        </w:rPr>
        <w:t>from</w:t>
      </w:r>
      <w:r>
        <w:rPr>
          <w:sz w:val="24"/>
          <w:szCs w:val="24"/>
        </w:rPr>
        <w:t xml:space="preserve"> all parties who are unable to </w:t>
      </w:r>
      <w:r w:rsidR="00E608CB">
        <w:rPr>
          <w:sz w:val="24"/>
          <w:szCs w:val="24"/>
        </w:rPr>
        <w:t xml:space="preserve">attend </w:t>
      </w:r>
      <w:r>
        <w:rPr>
          <w:sz w:val="24"/>
          <w:szCs w:val="24"/>
        </w:rPr>
        <w:t>the public hearing.</w:t>
      </w:r>
    </w:p>
    <w:p w14:paraId="4BC2C1F5" w14:textId="77777777" w:rsidR="003A6DB1" w:rsidRDefault="003A6DB1" w:rsidP="00915E37">
      <w:pPr>
        <w:pStyle w:val="Style2"/>
        <w:numPr>
          <w:ilvl w:val="1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The department will </w:t>
      </w:r>
      <w:r w:rsidR="00E608CB">
        <w:rPr>
          <w:sz w:val="24"/>
          <w:szCs w:val="24"/>
        </w:rPr>
        <w:t xml:space="preserve">be </w:t>
      </w:r>
      <w:r>
        <w:rPr>
          <w:sz w:val="24"/>
          <w:szCs w:val="24"/>
        </w:rPr>
        <w:t>responsible for transcribing the testimony from the public hearing into a public hearing summary document that will be required upon submittal of Final Rule.</w:t>
      </w:r>
    </w:p>
    <w:p w14:paraId="0997C23A" w14:textId="77777777" w:rsidR="003A6DB1" w:rsidRPr="00F706D6" w:rsidRDefault="003A6DB1" w:rsidP="003A6DB1">
      <w:pPr>
        <w:pStyle w:val="Style2"/>
        <w:numPr>
          <w:ilvl w:val="0"/>
          <w:numId w:val="3"/>
        </w:numPr>
        <w:kinsoku w:val="0"/>
        <w:autoSpaceDE/>
        <w:autoSpaceDN/>
        <w:rPr>
          <w:b/>
          <w:sz w:val="24"/>
          <w:szCs w:val="24"/>
        </w:rPr>
      </w:pPr>
      <w:r w:rsidRPr="00F706D6">
        <w:rPr>
          <w:b/>
          <w:sz w:val="24"/>
          <w:szCs w:val="24"/>
        </w:rPr>
        <w:lastRenderedPageBreak/>
        <w:t>Final Rule</w:t>
      </w:r>
    </w:p>
    <w:p w14:paraId="1E02E5F7" w14:textId="4B645592" w:rsidR="000B2EE7" w:rsidRDefault="00E608CB" w:rsidP="000B2EE7">
      <w:pPr>
        <w:pStyle w:val="Style2"/>
        <w:kinsoku w:val="0"/>
        <w:autoSpaceDE/>
        <w:autoSpaceDN/>
        <w:ind w:left="504"/>
        <w:rPr>
          <w:sz w:val="24"/>
          <w:szCs w:val="24"/>
        </w:rPr>
      </w:pPr>
      <w:r>
        <w:rPr>
          <w:sz w:val="24"/>
          <w:szCs w:val="24"/>
        </w:rPr>
        <w:t>In the request for</w:t>
      </w:r>
      <w:r w:rsidR="000B2EE7">
        <w:rPr>
          <w:sz w:val="24"/>
          <w:szCs w:val="24"/>
        </w:rPr>
        <w:t xml:space="preserve"> approval </w:t>
      </w:r>
      <w:r>
        <w:rPr>
          <w:sz w:val="24"/>
          <w:szCs w:val="24"/>
        </w:rPr>
        <w:t xml:space="preserve">of </w:t>
      </w:r>
      <w:r w:rsidR="000B2EE7">
        <w:rPr>
          <w:sz w:val="24"/>
          <w:szCs w:val="24"/>
        </w:rPr>
        <w:t>Final Rule, the department will provide response to the following:</w:t>
      </w:r>
    </w:p>
    <w:p w14:paraId="703D05BA" w14:textId="77777777" w:rsidR="000B2EE7" w:rsidRDefault="003E100E" w:rsidP="000B2EE7">
      <w:pPr>
        <w:pStyle w:val="Style2"/>
        <w:numPr>
          <w:ilvl w:val="1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Changes in Final Rule</w:t>
      </w:r>
    </w:p>
    <w:p w14:paraId="701197F8" w14:textId="77777777" w:rsidR="003E100E" w:rsidRDefault="003E100E" w:rsidP="003E100E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What changes were made in the Final Rule?</w:t>
      </w:r>
    </w:p>
    <w:p w14:paraId="6DFFF868" w14:textId="77777777" w:rsidR="003E100E" w:rsidRDefault="003E100E" w:rsidP="003E100E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Why were these changes made?</w:t>
      </w:r>
    </w:p>
    <w:p w14:paraId="0FE99C9A" w14:textId="77777777" w:rsidR="003E100E" w:rsidRDefault="003E100E" w:rsidP="003E100E">
      <w:pPr>
        <w:pStyle w:val="Style2"/>
        <w:numPr>
          <w:ilvl w:val="1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</w:p>
    <w:p w14:paraId="10298C4D" w14:textId="3A6B3BDD" w:rsidR="003E100E" w:rsidRDefault="00300265" w:rsidP="003E100E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Describe how the department has worked with stakeholders to gain </w:t>
      </w:r>
      <w:r w:rsidR="003E100E">
        <w:rPr>
          <w:sz w:val="24"/>
          <w:szCs w:val="24"/>
        </w:rPr>
        <w:t>support for the rule?</w:t>
      </w:r>
    </w:p>
    <w:p w14:paraId="24F81CF9" w14:textId="6333A578" w:rsidR="003E100E" w:rsidRDefault="003E100E" w:rsidP="003E100E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Have potential problems been addressed? Do the same problems exist with the Final Rule?</w:t>
      </w:r>
    </w:p>
    <w:p w14:paraId="5D7C3C5F" w14:textId="2882FF8A" w:rsidR="003E100E" w:rsidRDefault="003E100E" w:rsidP="003E100E">
      <w:pPr>
        <w:pStyle w:val="Style2"/>
        <w:numPr>
          <w:ilvl w:val="2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Does the Office of the Governor </w:t>
      </w:r>
      <w:r w:rsidR="00E608CB">
        <w:rPr>
          <w:sz w:val="24"/>
          <w:szCs w:val="24"/>
        </w:rPr>
        <w:t xml:space="preserve">staff </w:t>
      </w:r>
      <w:r>
        <w:rPr>
          <w:sz w:val="24"/>
          <w:szCs w:val="24"/>
        </w:rPr>
        <w:t xml:space="preserve">need to meet with any people/organizations before </w:t>
      </w:r>
      <w:r w:rsidR="00E608CB">
        <w:rPr>
          <w:sz w:val="24"/>
          <w:szCs w:val="24"/>
        </w:rPr>
        <w:t xml:space="preserve">the Governor </w:t>
      </w:r>
      <w:r>
        <w:rPr>
          <w:sz w:val="24"/>
          <w:szCs w:val="24"/>
        </w:rPr>
        <w:t>sign</w:t>
      </w:r>
      <w:r w:rsidR="00E608CB">
        <w:rPr>
          <w:sz w:val="24"/>
          <w:szCs w:val="24"/>
        </w:rPr>
        <w:t>s</w:t>
      </w:r>
      <w:r>
        <w:rPr>
          <w:sz w:val="24"/>
          <w:szCs w:val="24"/>
        </w:rPr>
        <w:t xml:space="preserve"> this Final Rule?</w:t>
      </w:r>
    </w:p>
    <w:p w14:paraId="634C82F2" w14:textId="77777777" w:rsidR="00E663A1" w:rsidRDefault="00E663A1" w:rsidP="00E663A1">
      <w:pPr>
        <w:pStyle w:val="Style2"/>
        <w:numPr>
          <w:ilvl w:val="0"/>
          <w:numId w:val="3"/>
        </w:numPr>
        <w:kinsoku w:val="0"/>
        <w:autoSpaceDE/>
        <w:autoSpaceDN/>
        <w:rPr>
          <w:b/>
          <w:sz w:val="24"/>
          <w:szCs w:val="24"/>
        </w:rPr>
      </w:pPr>
      <w:r w:rsidRPr="0068699B">
        <w:rPr>
          <w:b/>
          <w:sz w:val="24"/>
          <w:szCs w:val="24"/>
        </w:rPr>
        <w:t>Filing of Final Rule</w:t>
      </w:r>
    </w:p>
    <w:p w14:paraId="1A023F8B" w14:textId="0EAB98F9" w:rsidR="00E663A1" w:rsidRDefault="00E663A1" w:rsidP="00E663A1">
      <w:pPr>
        <w:pStyle w:val="Style2"/>
        <w:kinsoku w:val="0"/>
        <w:autoSpaceDE/>
        <w:autoSpaceDN/>
        <w:ind w:left="504"/>
        <w:rPr>
          <w:sz w:val="24"/>
          <w:szCs w:val="24"/>
        </w:rPr>
      </w:pPr>
      <w:r>
        <w:rPr>
          <w:sz w:val="24"/>
          <w:szCs w:val="24"/>
        </w:rPr>
        <w:t xml:space="preserve">Upon approval of Final Rule through HARPS, </w:t>
      </w:r>
      <w:r w:rsidR="009A54AB">
        <w:rPr>
          <w:sz w:val="24"/>
          <w:szCs w:val="24"/>
        </w:rPr>
        <w:t>the D</w:t>
      </w:r>
      <w:r>
        <w:rPr>
          <w:sz w:val="24"/>
          <w:szCs w:val="24"/>
        </w:rPr>
        <w:t xml:space="preserve">epartment </w:t>
      </w:r>
      <w:r w:rsidR="009A54AB">
        <w:rPr>
          <w:sz w:val="24"/>
          <w:szCs w:val="24"/>
        </w:rPr>
        <w:t xml:space="preserve">will </w:t>
      </w:r>
      <w:r>
        <w:rPr>
          <w:sz w:val="24"/>
          <w:szCs w:val="24"/>
        </w:rPr>
        <w:t>send 3 hard copies to Office of the Governor</w:t>
      </w:r>
      <w:r w:rsidR="009A54AB">
        <w:rPr>
          <w:sz w:val="24"/>
          <w:szCs w:val="24"/>
        </w:rPr>
        <w:t>. When approved, these copies will be filed with the</w:t>
      </w:r>
      <w:r>
        <w:rPr>
          <w:sz w:val="24"/>
          <w:szCs w:val="24"/>
        </w:rPr>
        <w:t xml:space="preserve"> Office of the Lieutenant Governor. Rule will take effect 10 days after filing.</w:t>
      </w:r>
    </w:p>
    <w:p w14:paraId="0224E008" w14:textId="77777777" w:rsidR="00F706D6" w:rsidRPr="00F706D6" w:rsidRDefault="00F706D6" w:rsidP="00F706D6">
      <w:pPr>
        <w:pStyle w:val="Style2"/>
        <w:numPr>
          <w:ilvl w:val="0"/>
          <w:numId w:val="3"/>
        </w:numPr>
        <w:kinsoku w:val="0"/>
        <w:autoSpaceDE/>
        <w:autoSpaceDN/>
        <w:rPr>
          <w:b/>
          <w:sz w:val="24"/>
          <w:szCs w:val="24"/>
        </w:rPr>
      </w:pPr>
      <w:r w:rsidRPr="00F706D6">
        <w:rPr>
          <w:b/>
          <w:sz w:val="24"/>
          <w:szCs w:val="24"/>
        </w:rPr>
        <w:t xml:space="preserve">Department of Budget and Finance (BUF) and Department of Business, Economic Development and Tourism (BED) </w:t>
      </w:r>
    </w:p>
    <w:p w14:paraId="5BB34C60" w14:textId="77777777" w:rsidR="00F706D6" w:rsidRDefault="00F706D6" w:rsidP="00F706D6">
      <w:pPr>
        <w:pStyle w:val="Style2"/>
        <w:kinsoku w:val="0"/>
        <w:autoSpaceDE/>
        <w:autoSpaceDN/>
        <w:ind w:left="504"/>
        <w:rPr>
          <w:sz w:val="24"/>
          <w:szCs w:val="24"/>
        </w:rPr>
      </w:pPr>
      <w:r>
        <w:rPr>
          <w:sz w:val="24"/>
          <w:szCs w:val="24"/>
        </w:rPr>
        <w:t xml:space="preserve">BUF and BED will receive electronic notification upon submittal of public hearing request.  Both departments will have the ability to submit comments and concerns through HARPS.  </w:t>
      </w:r>
      <w:r w:rsidR="00122689">
        <w:rPr>
          <w:sz w:val="24"/>
          <w:szCs w:val="24"/>
        </w:rPr>
        <w:t xml:space="preserve">Response will be due 10 business days after Final Rule is submitted. </w:t>
      </w:r>
      <w:r>
        <w:rPr>
          <w:sz w:val="24"/>
          <w:szCs w:val="24"/>
        </w:rPr>
        <w:t>Comments will be optional unless the following applies:</w:t>
      </w:r>
    </w:p>
    <w:p w14:paraId="0885E4EF" w14:textId="77777777" w:rsidR="00F706D6" w:rsidRPr="00F706D6" w:rsidRDefault="00F706D6" w:rsidP="00F706D6">
      <w:pPr>
        <w:pStyle w:val="Style2"/>
        <w:numPr>
          <w:ilvl w:val="1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BUF will </w:t>
      </w:r>
      <w:r w:rsidR="0084319D">
        <w:rPr>
          <w:sz w:val="24"/>
          <w:szCs w:val="24"/>
        </w:rPr>
        <w:t xml:space="preserve">be </w:t>
      </w:r>
      <w:r>
        <w:rPr>
          <w:sz w:val="24"/>
          <w:szCs w:val="24"/>
        </w:rPr>
        <w:t>required to provide response if the proposed rule has fees or other fiscal impacts.</w:t>
      </w:r>
    </w:p>
    <w:p w14:paraId="13AC5814" w14:textId="449228F3" w:rsidR="00F706D6" w:rsidRPr="00AE5BCC" w:rsidRDefault="00F706D6" w:rsidP="00F706D6">
      <w:pPr>
        <w:pStyle w:val="Style2"/>
        <w:numPr>
          <w:ilvl w:val="1"/>
          <w:numId w:val="3"/>
        </w:numPr>
        <w:kinsoku w:val="0"/>
        <w:autoSpaceDE/>
        <w:autoSpaceDN/>
        <w:rPr>
          <w:sz w:val="24"/>
          <w:szCs w:val="24"/>
        </w:rPr>
      </w:pPr>
      <w:r>
        <w:rPr>
          <w:sz w:val="24"/>
          <w:szCs w:val="24"/>
        </w:rPr>
        <w:t>BED will be required to provide response if the proposed rule has economic impact o</w:t>
      </w:r>
      <w:r w:rsidR="0084319D">
        <w:rPr>
          <w:sz w:val="24"/>
          <w:szCs w:val="24"/>
        </w:rPr>
        <w:t>r</w:t>
      </w:r>
      <w:r>
        <w:rPr>
          <w:sz w:val="24"/>
          <w:szCs w:val="24"/>
        </w:rPr>
        <w:t xml:space="preserve"> affects small business.</w:t>
      </w:r>
    </w:p>
    <w:p w14:paraId="55BBB408" w14:textId="77777777" w:rsidR="002211A6" w:rsidRPr="00D5507D" w:rsidRDefault="002211A6" w:rsidP="002211A6">
      <w:pPr>
        <w:pStyle w:val="Style2"/>
        <w:kinsoku w:val="0"/>
        <w:autoSpaceDE/>
        <w:autoSpaceDN/>
        <w:rPr>
          <w:sz w:val="24"/>
          <w:szCs w:val="24"/>
        </w:rPr>
      </w:pPr>
    </w:p>
    <w:p w14:paraId="1CF67CA9" w14:textId="77777777" w:rsidR="002211A6" w:rsidRPr="00D5507D" w:rsidRDefault="002211A6" w:rsidP="002211A6">
      <w:pPr>
        <w:pStyle w:val="Style2"/>
        <w:kinsoku w:val="0"/>
        <w:autoSpaceDE/>
        <w:autoSpaceDN/>
        <w:rPr>
          <w:sz w:val="24"/>
          <w:szCs w:val="24"/>
          <w:u w:val="single"/>
        </w:rPr>
      </w:pPr>
      <w:r w:rsidRPr="00D5507D">
        <w:rPr>
          <w:sz w:val="24"/>
          <w:szCs w:val="24"/>
          <w:u w:val="single"/>
        </w:rPr>
        <w:t>Procedure:</w:t>
      </w:r>
    </w:p>
    <w:p w14:paraId="37192C7F" w14:textId="77777777" w:rsidR="002211A6" w:rsidRPr="00D5507D" w:rsidRDefault="002211A6" w:rsidP="002211A6">
      <w:pPr>
        <w:pStyle w:val="Style2"/>
        <w:numPr>
          <w:ilvl w:val="0"/>
          <w:numId w:val="4"/>
        </w:numPr>
        <w:kinsoku w:val="0"/>
        <w:autoSpaceDE/>
        <w:autoSpaceDN/>
        <w:rPr>
          <w:sz w:val="24"/>
          <w:szCs w:val="24"/>
          <w:u w:val="single"/>
        </w:rPr>
      </w:pPr>
      <w:r w:rsidRPr="00D5507D">
        <w:rPr>
          <w:sz w:val="24"/>
          <w:szCs w:val="24"/>
        </w:rPr>
        <w:t>See attached PowerPoint</w:t>
      </w:r>
      <w:r w:rsidR="00B26425" w:rsidRPr="00D5507D">
        <w:rPr>
          <w:sz w:val="24"/>
          <w:szCs w:val="24"/>
        </w:rPr>
        <w:t xml:space="preserve"> </w:t>
      </w:r>
    </w:p>
    <w:p w14:paraId="5BCCDA74" w14:textId="77777777" w:rsidR="002211A6" w:rsidRDefault="002211A6" w:rsidP="002211A6">
      <w:pPr>
        <w:pStyle w:val="Style2"/>
        <w:kinsoku w:val="0"/>
        <w:autoSpaceDE/>
        <w:autoSpaceDN/>
      </w:pPr>
    </w:p>
    <w:p w14:paraId="5CE57792" w14:textId="77777777" w:rsidR="002211A6" w:rsidRPr="002211A6" w:rsidRDefault="002211A6" w:rsidP="002211A6">
      <w:pPr>
        <w:pStyle w:val="Style2"/>
        <w:kinsoku w:val="0"/>
        <w:autoSpaceDE/>
        <w:autoSpaceDN/>
        <w:rPr>
          <w:u w:val="single"/>
        </w:rPr>
      </w:pPr>
    </w:p>
    <w:sectPr w:rsidR="002211A6" w:rsidRPr="0022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75D3" w14:textId="77777777" w:rsidR="007A5D89" w:rsidRDefault="00EC62AA">
      <w:pPr>
        <w:spacing w:after="0" w:line="240" w:lineRule="auto"/>
      </w:pPr>
      <w:r>
        <w:separator/>
      </w:r>
    </w:p>
  </w:endnote>
  <w:endnote w:type="continuationSeparator" w:id="0">
    <w:p w14:paraId="7D056389" w14:textId="77777777" w:rsidR="007A5D89" w:rsidRDefault="00EC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ED9B" w14:textId="77777777" w:rsidR="007A5D89" w:rsidRDefault="00EC62AA">
      <w:pPr>
        <w:spacing w:after="0" w:line="240" w:lineRule="auto"/>
      </w:pPr>
      <w:r>
        <w:separator/>
      </w:r>
    </w:p>
  </w:footnote>
  <w:footnote w:type="continuationSeparator" w:id="0">
    <w:p w14:paraId="5A3D6B7A" w14:textId="77777777" w:rsidR="007A5D89" w:rsidRDefault="00EC6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11C"/>
    <w:multiLevelType w:val="hybridMultilevel"/>
    <w:tmpl w:val="164A7D3A"/>
    <w:lvl w:ilvl="0" w:tplc="949EFF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33CA790F"/>
    <w:multiLevelType w:val="hybridMultilevel"/>
    <w:tmpl w:val="26A4E9F6"/>
    <w:lvl w:ilvl="0" w:tplc="DF4288B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9F4772A"/>
    <w:multiLevelType w:val="hybridMultilevel"/>
    <w:tmpl w:val="AB90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B5928"/>
    <w:multiLevelType w:val="hybridMultilevel"/>
    <w:tmpl w:val="F266C8E2"/>
    <w:lvl w:ilvl="0" w:tplc="8EBE8E2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C6"/>
    <w:rsid w:val="0000638A"/>
    <w:rsid w:val="000111E5"/>
    <w:rsid w:val="00032976"/>
    <w:rsid w:val="00056A63"/>
    <w:rsid w:val="000716D9"/>
    <w:rsid w:val="000B2EE7"/>
    <w:rsid w:val="000E7834"/>
    <w:rsid w:val="00122689"/>
    <w:rsid w:val="001D4EC7"/>
    <w:rsid w:val="00214312"/>
    <w:rsid w:val="002211A6"/>
    <w:rsid w:val="002B2E69"/>
    <w:rsid w:val="002E0E5E"/>
    <w:rsid w:val="00300265"/>
    <w:rsid w:val="00306417"/>
    <w:rsid w:val="003123A9"/>
    <w:rsid w:val="00327CF4"/>
    <w:rsid w:val="00336EF5"/>
    <w:rsid w:val="003678E2"/>
    <w:rsid w:val="003A6DB1"/>
    <w:rsid w:val="003B584E"/>
    <w:rsid w:val="003D0A76"/>
    <w:rsid w:val="003E100E"/>
    <w:rsid w:val="0042540A"/>
    <w:rsid w:val="00450054"/>
    <w:rsid w:val="0045633B"/>
    <w:rsid w:val="0046629F"/>
    <w:rsid w:val="00471993"/>
    <w:rsid w:val="004A74AA"/>
    <w:rsid w:val="004E459B"/>
    <w:rsid w:val="004F1356"/>
    <w:rsid w:val="005136C6"/>
    <w:rsid w:val="005246B4"/>
    <w:rsid w:val="0053334F"/>
    <w:rsid w:val="005720DD"/>
    <w:rsid w:val="00575D07"/>
    <w:rsid w:val="005D4A8A"/>
    <w:rsid w:val="005D4B35"/>
    <w:rsid w:val="005E0D8F"/>
    <w:rsid w:val="006063F6"/>
    <w:rsid w:val="006460D1"/>
    <w:rsid w:val="0068779C"/>
    <w:rsid w:val="006D2D0A"/>
    <w:rsid w:val="006D37C8"/>
    <w:rsid w:val="007035CD"/>
    <w:rsid w:val="00714656"/>
    <w:rsid w:val="00733F8B"/>
    <w:rsid w:val="00782017"/>
    <w:rsid w:val="00785B65"/>
    <w:rsid w:val="007A5D89"/>
    <w:rsid w:val="00834012"/>
    <w:rsid w:val="0084319D"/>
    <w:rsid w:val="00875265"/>
    <w:rsid w:val="008C471A"/>
    <w:rsid w:val="00910112"/>
    <w:rsid w:val="00915E37"/>
    <w:rsid w:val="009711DD"/>
    <w:rsid w:val="009946DF"/>
    <w:rsid w:val="00994E7B"/>
    <w:rsid w:val="009A54AB"/>
    <w:rsid w:val="009B31C8"/>
    <w:rsid w:val="009D4AB7"/>
    <w:rsid w:val="00A05787"/>
    <w:rsid w:val="00AE5BCC"/>
    <w:rsid w:val="00B26425"/>
    <w:rsid w:val="00B34BEB"/>
    <w:rsid w:val="00B7050D"/>
    <w:rsid w:val="00B93CB0"/>
    <w:rsid w:val="00B9768C"/>
    <w:rsid w:val="00BF30E5"/>
    <w:rsid w:val="00BF5524"/>
    <w:rsid w:val="00C34152"/>
    <w:rsid w:val="00C46342"/>
    <w:rsid w:val="00C94AB6"/>
    <w:rsid w:val="00D2173E"/>
    <w:rsid w:val="00D5507D"/>
    <w:rsid w:val="00D647A7"/>
    <w:rsid w:val="00DB782B"/>
    <w:rsid w:val="00DF6991"/>
    <w:rsid w:val="00E147D8"/>
    <w:rsid w:val="00E23185"/>
    <w:rsid w:val="00E36579"/>
    <w:rsid w:val="00E608CB"/>
    <w:rsid w:val="00E663A1"/>
    <w:rsid w:val="00E72717"/>
    <w:rsid w:val="00E87E16"/>
    <w:rsid w:val="00E971A8"/>
    <w:rsid w:val="00EA68FD"/>
    <w:rsid w:val="00EC62AA"/>
    <w:rsid w:val="00EE5536"/>
    <w:rsid w:val="00F12533"/>
    <w:rsid w:val="00F145DA"/>
    <w:rsid w:val="00F706D6"/>
    <w:rsid w:val="00F74DB2"/>
    <w:rsid w:val="00F96C61"/>
    <w:rsid w:val="00FA407E"/>
    <w:rsid w:val="00FD2874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42514446"/>
  <w15:chartTrackingRefBased/>
  <w15:docId w15:val="{9E1EC6F5-4D27-443D-BFE6-D0075758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5136C6"/>
    <w:pPr>
      <w:widowControl w:val="0"/>
      <w:autoSpaceDE w:val="0"/>
      <w:autoSpaceDN w:val="0"/>
      <w:spacing w:before="180" w:after="0" w:line="240" w:lineRule="auto"/>
      <w:ind w:left="144"/>
    </w:pPr>
    <w:rPr>
      <w:rFonts w:ascii="Arial" w:eastAsiaTheme="minorEastAsia" w:hAnsi="Arial" w:cs="Arial"/>
      <w:sz w:val="21"/>
      <w:szCs w:val="21"/>
    </w:rPr>
  </w:style>
  <w:style w:type="paragraph" w:customStyle="1" w:styleId="Style1">
    <w:name w:val="Style 1"/>
    <w:basedOn w:val="Normal"/>
    <w:uiPriority w:val="99"/>
    <w:rsid w:val="0051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5136C6"/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5136C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1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5C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8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waiioimt.sharepoint.com/sites/gov/adminru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Asuka, Brandon T</dc:creator>
  <cp:keywords/>
  <dc:description/>
  <cp:lastModifiedBy>Palcovich, Dori</cp:lastModifiedBy>
  <cp:revision>2</cp:revision>
  <cp:lastPrinted>2018-02-12T22:32:00Z</cp:lastPrinted>
  <dcterms:created xsi:type="dcterms:W3CDTF">2018-02-12T22:37:00Z</dcterms:created>
  <dcterms:modified xsi:type="dcterms:W3CDTF">2018-02-12T22:37:00Z</dcterms:modified>
</cp:coreProperties>
</file>